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33.25pt;height:86.5pt;mso-position-horizontal-relative:char;mso-position-vertical-relative:line" coordorigin="0,0" coordsize="10665,1730">
            <v:line style="position:absolute" from="814,842" to="10569,842" stroked="true" strokeweight=".72pt" strokecolor="#000000">
              <v:stroke dashstyle="solid"/>
            </v:line>
            <v:shape style="position:absolute;left:0;top:0;width:1629;height:1701" type="#_x0000_t75" stroked="false">
              <v:imagedata r:id="rId5" o:title=""/>
            </v:shape>
            <v:shape style="position:absolute;left:9161;top:0;width:1504;height:158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665;height:173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274" w:right="1583" w:firstLine="0"/>
                      <w:jc w:val="center"/>
                      <w:rPr>
                        <w:rFonts w:ascii="Book Antiqua" w:hAnsi="Book Antiqua"/>
                        <w:b/>
                        <w:sz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</w:rPr>
                      <w:t>Patriarhia Română</w:t>
                    </w:r>
                  </w:p>
                  <w:p>
                    <w:pPr>
                      <w:spacing w:before="4"/>
                      <w:ind w:left="2301" w:right="1583" w:firstLine="0"/>
                      <w:jc w:val="center"/>
                      <w:rPr>
                        <w:rFonts w:ascii="Book Antiqua" w:hAnsi="Book Antiqua"/>
                        <w:b/>
                        <w:sz w:val="22"/>
                      </w:rPr>
                    </w:pPr>
                    <w:r>
                      <w:rPr>
                        <w:rFonts w:ascii="Book Antiqua" w:hAnsi="Book Antiqua"/>
                        <w:b/>
                        <w:sz w:val="22"/>
                      </w:rPr>
                      <w:t>Mitropolia Ortodoxă Română a Europei Occidentale </w:t>
                    </w:r>
                    <w:r>
                      <w:rPr>
                        <w:b/>
                        <w:sz w:val="22"/>
                      </w:rPr>
                      <w:t>și </w:t>
                    </w:r>
                    <w:r>
                      <w:rPr>
                        <w:rFonts w:ascii="Book Antiqua" w:hAnsi="Book Antiqua"/>
                        <w:b/>
                        <w:sz w:val="22"/>
                      </w:rPr>
                      <w:t>Meridionale</w:t>
                    </w:r>
                  </w:p>
                  <w:p>
                    <w:pPr>
                      <w:spacing w:before="33"/>
                      <w:ind w:left="3517" w:right="2798" w:firstLine="0"/>
                      <w:jc w:val="center"/>
                      <w:rPr>
                        <w:rFonts w:ascii="Book Antiqua" w:hAnsi="Book Antiqua"/>
                        <w:b/>
                        <w:i/>
                        <w:sz w:val="26"/>
                      </w:rPr>
                    </w:pPr>
                    <w:r>
                      <w:rPr>
                        <w:rFonts w:ascii="Book Antiqua" w:hAnsi="Book Antiqua"/>
                        <w:b/>
                        <w:sz w:val="26"/>
                      </w:rPr>
                      <w:t>Episcopia Ortodoxă Română a Italiei Parohia </w:t>
                    </w:r>
                    <w:r>
                      <w:rPr>
                        <w:rFonts w:ascii="Book Antiqua" w:hAnsi="Book Antiqua"/>
                        <w:b/>
                        <w:i/>
                        <w:sz w:val="26"/>
                      </w:rPr>
                      <w:t>“Sfânta Parascheva”</w:t>
                    </w:r>
                  </w:p>
                  <w:p>
                    <w:pPr>
                      <w:spacing w:line="248" w:lineRule="exact" w:before="0"/>
                      <w:ind w:left="2298" w:right="1583" w:firstLine="0"/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rFonts w:ascii="Book Antiqua" w:hAnsi="Book Antiqua"/>
                        <w:sz w:val="20"/>
                      </w:rPr>
                      <w:t>Corso Vercelli 481/9, Torino – Italia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190" w:lineRule="exact"/>
        <w:ind w:left="3932"/>
      </w:pPr>
      <w:r>
        <w:rPr/>
        <w:t>tel: (0039) 349 357 4468 / (0039) 349 4915413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80"/>
        <w:ind w:left="2607" w:right="2388" w:firstLine="0"/>
        <w:jc w:val="center"/>
        <w:rPr>
          <w:b/>
          <w:i/>
          <w:sz w:val="48"/>
        </w:rPr>
      </w:pPr>
      <w:r>
        <w:rPr>
          <w:b/>
          <w:i/>
          <w:sz w:val="48"/>
        </w:rPr>
        <w:t>PROGRAM SĂPTĂMÂNAL: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 w:after="1"/>
        <w:rPr>
          <w:b/>
          <w:i/>
          <w:sz w:val="25"/>
        </w:rPr>
      </w:pPr>
    </w:p>
    <w:tbl>
      <w:tblPr>
        <w:tblW w:w="0" w:type="auto"/>
        <w:jc w:val="left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7"/>
        <w:gridCol w:w="2228"/>
        <w:gridCol w:w="4429"/>
        <w:gridCol w:w="509"/>
      </w:tblGrid>
      <w:tr>
        <w:trPr>
          <w:trHeight w:val="769" w:hRule="atLeast"/>
        </w:trPr>
        <w:tc>
          <w:tcPr>
            <w:tcW w:w="285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4" w:val="left" w:leader="none"/>
              </w:tabs>
              <w:spacing w:line="377" w:lineRule="exact" w:before="0" w:after="0"/>
              <w:ind w:left="333" w:right="0" w:hanging="284"/>
              <w:jc w:val="left"/>
              <w:rPr>
                <w:b/>
                <w:sz w:val="34"/>
              </w:rPr>
            </w:pPr>
            <w:r>
              <w:rPr>
                <w:b/>
                <w:sz w:val="34"/>
                <w:u w:val="thick"/>
              </w:rPr>
              <w:t>Luni</w:t>
            </w:r>
            <w:r>
              <w:rPr>
                <w:b/>
                <w:sz w:val="34"/>
              </w:rPr>
              <w:t> :</w:t>
            </w:r>
          </w:p>
        </w:tc>
        <w:tc>
          <w:tcPr>
            <w:tcW w:w="2228" w:type="dxa"/>
          </w:tcPr>
          <w:p>
            <w:pPr>
              <w:pStyle w:val="TableParagraph"/>
              <w:spacing w:before="42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17.30</w:t>
            </w:r>
          </w:p>
        </w:tc>
        <w:tc>
          <w:tcPr>
            <w:tcW w:w="4429" w:type="dxa"/>
          </w:tcPr>
          <w:p>
            <w:pPr>
              <w:pStyle w:val="TableParagraph"/>
              <w:spacing w:before="42"/>
              <w:ind w:left="68"/>
              <w:rPr>
                <w:sz w:val="28"/>
              </w:rPr>
            </w:pPr>
            <w:r>
              <w:rPr>
                <w:sz w:val="28"/>
              </w:rPr>
              <w:t>Spovedanii</w:t>
            </w:r>
          </w:p>
        </w:tc>
        <w:tc>
          <w:tcPr>
            <w:tcW w:w="50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18" w:hRule="atLeast"/>
        </w:trPr>
        <w:tc>
          <w:tcPr>
            <w:tcW w:w="2857" w:type="dxa"/>
          </w:tcPr>
          <w:p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84"/>
              <w:jc w:val="left"/>
              <w:rPr>
                <w:b/>
                <w:sz w:val="34"/>
              </w:rPr>
            </w:pPr>
            <w:r>
              <w:rPr>
                <w:spacing w:val="-86"/>
                <w:w w:val="100"/>
                <w:sz w:val="34"/>
                <w:u w:val="thick"/>
              </w:rPr>
              <w:t> </w:t>
            </w:r>
            <w:r>
              <w:rPr>
                <w:b/>
                <w:sz w:val="34"/>
                <w:u w:val="thick"/>
              </w:rPr>
              <w:t>Marţi</w:t>
            </w:r>
            <w:r>
              <w:rPr>
                <w:b/>
                <w:spacing w:val="-1"/>
                <w:sz w:val="34"/>
              </w:rPr>
              <w:t> </w:t>
            </w:r>
            <w:r>
              <w:rPr>
                <w:b/>
                <w:sz w:val="34"/>
              </w:rPr>
              <w:t>: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880"/>
              <w:rPr>
                <w:sz w:val="34"/>
              </w:rPr>
            </w:pPr>
            <w:r>
              <w:rPr>
                <w:sz w:val="34"/>
              </w:rPr>
              <w:t>- - - - - - -</w:t>
            </w:r>
          </w:p>
        </w:tc>
        <w:tc>
          <w:tcPr>
            <w:tcW w:w="4429" w:type="dxa"/>
          </w:tcPr>
          <w:p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42"/>
              <w:rPr>
                <w:sz w:val="34"/>
              </w:rPr>
            </w:pPr>
            <w:r>
              <w:rPr>
                <w:sz w:val="34"/>
              </w:rPr>
              <w:t>- - - - - - -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2857" w:type="dxa"/>
          </w:tcPr>
          <w:p>
            <w:pPr>
              <w:pStyle w:val="TableParagraph"/>
              <w:spacing w:before="9"/>
              <w:rPr>
                <w:b/>
                <w:i/>
                <w:sz w:val="3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84"/>
              <w:jc w:val="left"/>
              <w:rPr>
                <w:b/>
                <w:sz w:val="34"/>
              </w:rPr>
            </w:pPr>
            <w:r>
              <w:rPr>
                <w:b/>
                <w:sz w:val="34"/>
                <w:u w:val="thick"/>
              </w:rPr>
              <w:t>Miercuri</w:t>
            </w:r>
            <w:r>
              <w:rPr>
                <w:b/>
                <w:sz w:val="34"/>
              </w:rPr>
              <w:t> :</w:t>
            </w:r>
          </w:p>
        </w:tc>
        <w:tc>
          <w:tcPr>
            <w:tcW w:w="2228" w:type="dxa"/>
          </w:tcPr>
          <w:p>
            <w:pPr>
              <w:pStyle w:val="TableParagraph"/>
              <w:spacing w:before="7"/>
              <w:rPr>
                <w:b/>
                <w:i/>
                <w:sz w:val="42"/>
              </w:rPr>
            </w:pPr>
          </w:p>
          <w:p>
            <w:pPr>
              <w:pStyle w:val="TableParagraph"/>
              <w:spacing w:before="1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17.30</w:t>
            </w:r>
          </w:p>
        </w:tc>
        <w:tc>
          <w:tcPr>
            <w:tcW w:w="4429" w:type="dxa"/>
          </w:tcPr>
          <w:p>
            <w:pPr>
              <w:pStyle w:val="TableParagraph"/>
              <w:spacing w:before="7"/>
              <w:rPr>
                <w:b/>
                <w:i/>
                <w:sz w:val="42"/>
              </w:rPr>
            </w:pPr>
          </w:p>
          <w:p>
            <w:pPr>
              <w:pStyle w:val="TableParagraph"/>
              <w:spacing w:before="1"/>
              <w:ind w:left="68"/>
              <w:rPr>
                <w:sz w:val="28"/>
              </w:rPr>
            </w:pPr>
            <w:r>
              <w:rPr>
                <w:sz w:val="28"/>
              </w:rPr>
              <w:t>Spovedanii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5" w:hRule="atLeast"/>
        </w:trPr>
        <w:tc>
          <w:tcPr>
            <w:tcW w:w="28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before="89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19.30</w:t>
            </w:r>
          </w:p>
        </w:tc>
        <w:tc>
          <w:tcPr>
            <w:tcW w:w="4429" w:type="dxa"/>
          </w:tcPr>
          <w:p>
            <w:pPr>
              <w:pStyle w:val="TableParagraph"/>
              <w:tabs>
                <w:tab w:pos="959" w:val="left" w:leader="none"/>
                <w:tab w:pos="2340" w:val="left" w:leader="none"/>
                <w:tab w:pos="3151" w:val="left" w:leader="none"/>
              </w:tabs>
              <w:spacing w:line="360" w:lineRule="auto" w:before="89"/>
              <w:ind w:left="68" w:right="79"/>
              <w:rPr>
                <w:sz w:val="28"/>
              </w:rPr>
            </w:pPr>
            <w:r>
              <w:rPr>
                <w:color w:val="6F2F9F"/>
                <w:sz w:val="28"/>
              </w:rPr>
              <w:t>Denia</w:t>
              <w:tab/>
              <w:t>Canonului</w:t>
              <w:tab/>
              <w:t>Mare</w:t>
              <w:tab/>
            </w:r>
            <w:r>
              <w:rPr>
                <w:color w:val="6F2F9F"/>
                <w:spacing w:val="-3"/>
                <w:sz w:val="28"/>
              </w:rPr>
              <w:t>(canonului </w:t>
            </w:r>
            <w:r>
              <w:rPr>
                <w:color w:val="6F2F9F"/>
                <w:sz w:val="28"/>
              </w:rPr>
              <w:t>Andrei Criteanul</w:t>
            </w:r>
          </w:p>
        </w:tc>
        <w:tc>
          <w:tcPr>
            <w:tcW w:w="509" w:type="dxa"/>
          </w:tcPr>
          <w:p>
            <w:pPr>
              <w:pStyle w:val="TableParagraph"/>
              <w:spacing w:before="89"/>
              <w:ind w:right="52"/>
              <w:jc w:val="right"/>
              <w:rPr>
                <w:sz w:val="28"/>
              </w:rPr>
            </w:pPr>
            <w:r>
              <w:rPr>
                <w:color w:val="6F2F9F"/>
                <w:sz w:val="28"/>
              </w:rPr>
              <w:t>Sf.</w:t>
            </w:r>
          </w:p>
        </w:tc>
      </w:tr>
      <w:tr>
        <w:trPr>
          <w:trHeight w:val="1025" w:hRule="atLeast"/>
        </w:trPr>
        <w:tc>
          <w:tcPr>
            <w:tcW w:w="28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4" w:val="left" w:leader="none"/>
              </w:tabs>
              <w:spacing w:line="240" w:lineRule="auto" w:before="257" w:after="0"/>
              <w:ind w:left="333" w:right="0" w:hanging="284"/>
              <w:jc w:val="left"/>
              <w:rPr>
                <w:sz w:val="34"/>
              </w:rPr>
            </w:pPr>
            <w:r>
              <w:rPr>
                <w:b/>
                <w:sz w:val="34"/>
                <w:u w:val="thick"/>
              </w:rPr>
              <w:t>Joi</w:t>
            </w:r>
            <w:r>
              <w:rPr>
                <w:b/>
                <w:sz w:val="34"/>
              </w:rPr>
              <w:t> </w:t>
            </w:r>
            <w:r>
              <w:rPr>
                <w:sz w:val="34"/>
              </w:rPr>
              <w:t>:</w:t>
            </w:r>
          </w:p>
        </w:tc>
        <w:tc>
          <w:tcPr>
            <w:tcW w:w="2228" w:type="dxa"/>
          </w:tcPr>
          <w:p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17.30</w:t>
            </w:r>
          </w:p>
        </w:tc>
        <w:tc>
          <w:tcPr>
            <w:tcW w:w="4429" w:type="dxa"/>
          </w:tcPr>
          <w:p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Spovedanii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285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4" w:val="left" w:leader="none"/>
              </w:tabs>
              <w:spacing w:line="240" w:lineRule="auto" w:before="377" w:after="0"/>
              <w:ind w:left="333" w:right="0" w:hanging="284"/>
              <w:jc w:val="left"/>
              <w:rPr>
                <w:b/>
                <w:sz w:val="34"/>
              </w:rPr>
            </w:pPr>
            <w:r>
              <w:rPr>
                <w:b/>
                <w:sz w:val="34"/>
                <w:u w:val="thick"/>
              </w:rPr>
              <w:t>Vineri</w:t>
            </w:r>
            <w:r>
              <w:rPr>
                <w:b/>
                <w:sz w:val="34"/>
              </w:rPr>
              <w:t> :</w:t>
            </w:r>
          </w:p>
        </w:tc>
        <w:tc>
          <w:tcPr>
            <w:tcW w:w="2228" w:type="dxa"/>
          </w:tcPr>
          <w:p>
            <w:pPr>
              <w:pStyle w:val="TableParagraph"/>
              <w:spacing w:before="9"/>
              <w:rPr>
                <w:b/>
                <w:i/>
                <w:sz w:val="39"/>
              </w:rPr>
            </w:pPr>
          </w:p>
          <w:p>
            <w:pPr>
              <w:pStyle w:val="TableParagraph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17.30</w:t>
            </w:r>
          </w:p>
        </w:tc>
        <w:tc>
          <w:tcPr>
            <w:tcW w:w="4429" w:type="dxa"/>
          </w:tcPr>
          <w:p>
            <w:pPr>
              <w:pStyle w:val="TableParagraph"/>
              <w:spacing w:before="9"/>
              <w:rPr>
                <w:b/>
                <w:i/>
                <w:sz w:val="39"/>
              </w:rPr>
            </w:pPr>
          </w:p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Spovedanii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59" w:hRule="atLeast"/>
        </w:trPr>
        <w:tc>
          <w:tcPr>
            <w:tcW w:w="28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before="88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19.30</w:t>
            </w:r>
          </w:p>
        </w:tc>
        <w:tc>
          <w:tcPr>
            <w:tcW w:w="4429" w:type="dxa"/>
          </w:tcPr>
          <w:p>
            <w:pPr>
              <w:pStyle w:val="TableParagraph"/>
              <w:spacing w:before="88"/>
              <w:ind w:left="68"/>
              <w:rPr>
                <w:sz w:val="28"/>
              </w:rPr>
            </w:pPr>
            <w:r>
              <w:rPr>
                <w:color w:val="6F2F9F"/>
                <w:sz w:val="28"/>
              </w:rPr>
              <w:t>Denia Acatistului Bunei Vestiri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7" w:hRule="atLeast"/>
        </w:trPr>
        <w:tc>
          <w:tcPr>
            <w:tcW w:w="285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4" w:val="left" w:leader="none"/>
              </w:tabs>
              <w:spacing w:line="240" w:lineRule="auto" w:before="335" w:after="0"/>
              <w:ind w:left="333" w:right="0" w:hanging="284"/>
              <w:jc w:val="left"/>
              <w:rPr>
                <w:b/>
                <w:sz w:val="34"/>
              </w:rPr>
            </w:pPr>
            <w:r>
              <w:rPr>
                <w:color w:val="006FC0"/>
                <w:spacing w:val="-86"/>
                <w:w w:val="100"/>
                <w:sz w:val="34"/>
                <w:u w:val="thick" w:color="006FC0"/>
              </w:rPr>
              <w:t> </w:t>
            </w:r>
            <w:r>
              <w:rPr>
                <w:b/>
                <w:color w:val="006FC0"/>
                <w:sz w:val="34"/>
                <w:u w:val="thick" w:color="006FC0"/>
              </w:rPr>
              <w:t>Sâmbătă</w:t>
            </w:r>
            <w:r>
              <w:rPr>
                <w:b/>
                <w:color w:val="006FC0"/>
                <w:sz w:val="34"/>
              </w:rPr>
              <w:t> :</w:t>
            </w:r>
          </w:p>
        </w:tc>
        <w:tc>
          <w:tcPr>
            <w:tcW w:w="2228" w:type="dxa"/>
          </w:tcPr>
          <w:p>
            <w:pPr>
              <w:pStyle w:val="TableParagraph"/>
              <w:rPr>
                <w:b/>
                <w:i/>
                <w:sz w:val="34"/>
              </w:rPr>
            </w:pPr>
          </w:p>
          <w:p>
            <w:pPr>
              <w:pStyle w:val="TableParagraph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10.00</w:t>
            </w:r>
          </w:p>
        </w:tc>
        <w:tc>
          <w:tcPr>
            <w:tcW w:w="4429" w:type="dxa"/>
          </w:tcPr>
          <w:p>
            <w:pPr>
              <w:pStyle w:val="TableParagraph"/>
              <w:rPr>
                <w:b/>
                <w:i/>
                <w:sz w:val="34"/>
              </w:rPr>
            </w:pPr>
          </w:p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color w:val="006FC0"/>
                <w:sz w:val="28"/>
              </w:rPr>
              <w:t>Sf. Liturghie a Sf. Ioan Gură de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b/>
                <w:i/>
                <w:sz w:val="34"/>
              </w:rPr>
            </w:pPr>
          </w:p>
          <w:p>
            <w:pPr>
              <w:pStyle w:val="TableParagraph"/>
              <w:ind w:right="52"/>
              <w:jc w:val="right"/>
              <w:rPr>
                <w:sz w:val="28"/>
              </w:rPr>
            </w:pPr>
            <w:r>
              <w:rPr>
                <w:color w:val="006FC0"/>
                <w:sz w:val="28"/>
              </w:rPr>
              <w:t>Aur</w:t>
            </w:r>
          </w:p>
        </w:tc>
      </w:tr>
      <w:tr>
        <w:trPr>
          <w:trHeight w:val="1133" w:hRule="atLeast"/>
        </w:trPr>
        <w:tc>
          <w:tcPr>
            <w:tcW w:w="28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227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14.30</w:t>
            </w:r>
          </w:p>
        </w:tc>
        <w:tc>
          <w:tcPr>
            <w:tcW w:w="4429" w:type="dxa"/>
          </w:tcPr>
          <w:p>
            <w:pPr>
              <w:pStyle w:val="TableParagraph"/>
              <w:spacing w:line="360" w:lineRule="auto" w:before="89"/>
              <w:ind w:left="68" w:right="710"/>
              <w:rPr>
                <w:sz w:val="28"/>
              </w:rPr>
            </w:pPr>
            <w:r>
              <w:rPr>
                <w:color w:val="006FC0"/>
                <w:sz w:val="28"/>
              </w:rPr>
              <w:t>împreună cu pomenirea morţilor </w:t>
            </w:r>
            <w:r>
              <w:rPr>
                <w:sz w:val="28"/>
              </w:rPr>
              <w:t>Spovedanii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14" w:hRule="atLeast"/>
        </w:trPr>
        <w:tc>
          <w:tcPr>
            <w:tcW w:w="285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4" w:val="left" w:leader="none"/>
              </w:tabs>
              <w:spacing w:line="240" w:lineRule="auto" w:before="225" w:after="0"/>
              <w:ind w:left="333" w:right="0" w:hanging="284"/>
              <w:jc w:val="left"/>
              <w:rPr>
                <w:sz w:val="30"/>
              </w:rPr>
            </w:pPr>
            <w:r>
              <w:rPr>
                <w:b/>
                <w:color w:val="FF0000"/>
                <w:sz w:val="34"/>
                <w:u w:val="thick" w:color="FF0000"/>
              </w:rPr>
              <w:t>Duminică</w:t>
            </w:r>
            <w:r>
              <w:rPr>
                <w:b/>
                <w:color w:val="FF0000"/>
                <w:spacing w:val="55"/>
                <w:sz w:val="34"/>
              </w:rPr>
              <w:t> </w:t>
            </w:r>
            <w:r>
              <w:rPr>
                <w:color w:val="FF0000"/>
                <w:sz w:val="30"/>
              </w:rPr>
              <w:t>:</w:t>
            </w:r>
          </w:p>
        </w:tc>
        <w:tc>
          <w:tcPr>
            <w:tcW w:w="2228" w:type="dxa"/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08.30</w:t>
            </w:r>
          </w:p>
        </w:tc>
        <w:tc>
          <w:tcPr>
            <w:tcW w:w="4429" w:type="dxa"/>
          </w:tcPr>
          <w:p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Utrenia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76" w:hRule="atLeast"/>
        </w:trPr>
        <w:tc>
          <w:tcPr>
            <w:tcW w:w="28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before="187"/>
              <w:ind w:left="880"/>
              <w:rPr>
                <w:i/>
                <w:sz w:val="28"/>
              </w:rPr>
            </w:pPr>
            <w:r>
              <w:rPr>
                <w:i/>
                <w:color w:val="C00000"/>
                <w:sz w:val="28"/>
              </w:rPr>
              <w:t>ora 10.00</w:t>
            </w:r>
          </w:p>
        </w:tc>
        <w:tc>
          <w:tcPr>
            <w:tcW w:w="4429" w:type="dxa"/>
          </w:tcPr>
          <w:p>
            <w:pPr>
              <w:pStyle w:val="TableParagraph"/>
              <w:spacing w:before="187"/>
              <w:ind w:left="68"/>
              <w:rPr>
                <w:sz w:val="28"/>
              </w:rPr>
            </w:pPr>
            <w:r>
              <w:rPr>
                <w:color w:val="FF0000"/>
                <w:sz w:val="28"/>
              </w:rPr>
              <w:t>Sfânta şi Dumnezeiasca Liturghie</w:t>
            </w:r>
            <w:r>
              <w:rPr>
                <w:color w:val="FF0000"/>
                <w:spacing w:val="65"/>
                <w:sz w:val="28"/>
              </w:rPr>
              <w:t>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509" w:type="dxa"/>
          </w:tcPr>
          <w:p>
            <w:pPr>
              <w:pStyle w:val="TableParagraph"/>
              <w:spacing w:before="187"/>
              <w:ind w:right="46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Sf.</w:t>
            </w:r>
          </w:p>
        </w:tc>
      </w:tr>
      <w:tr>
        <w:trPr>
          <w:trHeight w:val="478" w:hRule="atLeast"/>
        </w:trPr>
        <w:tc>
          <w:tcPr>
            <w:tcW w:w="28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spacing w:line="302" w:lineRule="exact" w:before="156"/>
              <w:ind w:left="68"/>
              <w:rPr>
                <w:sz w:val="28"/>
              </w:rPr>
            </w:pPr>
            <w:r>
              <w:rPr>
                <w:color w:val="FF0000"/>
                <w:sz w:val="28"/>
              </w:rPr>
              <w:t>Vasile cel mare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type w:val="continuous"/>
      <w:pgSz w:w="11910" w:h="16840"/>
      <w:pgMar w:top="420" w:bottom="280" w:left="5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28"/>
        <w:szCs w:val="28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28"/>
        <w:szCs w:val="28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34"/>
        <w:szCs w:val="34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28"/>
        <w:szCs w:val="28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28"/>
        <w:szCs w:val="28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28"/>
        <w:szCs w:val="28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33" w:hanging="284"/>
      </w:pPr>
      <w:rPr>
        <w:rFonts w:hint="default" w:ascii="Symbol" w:hAnsi="Symbol" w:eastAsia="Symbol" w:cs="Symbol"/>
        <w:w w:val="100"/>
        <w:sz w:val="28"/>
        <w:szCs w:val="28"/>
        <w:lang w:val="ro-RO" w:eastAsia="ro-RO" w:bidi="ro-RO"/>
      </w:rPr>
    </w:lvl>
    <w:lvl w:ilvl="1">
      <w:start w:val="0"/>
      <w:numFmt w:val="bullet"/>
      <w:lvlText w:val="•"/>
      <w:lvlJc w:val="left"/>
      <w:pPr>
        <w:ind w:left="591" w:hanging="284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843" w:hanging="284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095" w:hanging="284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1346" w:hanging="284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1598" w:hanging="284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1850" w:hanging="284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2101" w:hanging="284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2353" w:hanging="284"/>
      </w:pPr>
      <w:rPr>
        <w:rFonts w:hint="default"/>
        <w:lang w:val="ro-RO" w:eastAsia="ro-RO" w:bidi="ro-RO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18"/>
      <w:szCs w:val="18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MOREOM</dc:creator>
  <dcterms:created xsi:type="dcterms:W3CDTF">2019-04-13T11:43:44Z</dcterms:created>
  <dcterms:modified xsi:type="dcterms:W3CDTF">2019-04-13T11:43:44Z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2019-04-13T00:00:00Z</vt:filetime>
  </property>
</Properties>
</file>